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21F556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DFAC680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EE23B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89E0B2C" w14:textId="77777777" w:rsidR="00ED3333" w:rsidRPr="00ED3333" w:rsidRDefault="00EE23B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Rybí přechod</w:t>
            </w:r>
          </w:p>
        </w:tc>
      </w:tr>
      <w:tr w:rsidR="002F650F" w14:paraId="5C2FCFD5" w14:textId="77777777" w:rsidTr="002F650F">
        <w:tc>
          <w:tcPr>
            <w:tcW w:w="1384" w:type="dxa"/>
          </w:tcPr>
          <w:p w14:paraId="071C0FA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1BBDB481" w14:textId="77777777" w:rsidTr="0082301A">
              <w:tc>
                <w:tcPr>
                  <w:tcW w:w="7826" w:type="dxa"/>
                </w:tcPr>
                <w:p w14:paraId="5A91858F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57C28331" w14:textId="77777777" w:rsidR="002F650F" w:rsidRDefault="002F650F" w:rsidP="002F650F"/>
        </w:tc>
      </w:tr>
    </w:tbl>
    <w:p w14:paraId="314500D6" w14:textId="77777777" w:rsidR="00BE0FEB" w:rsidRDefault="00BE0FEB">
      <w:pPr>
        <w:pStyle w:val="Bntext"/>
      </w:pPr>
    </w:p>
    <w:p w14:paraId="3F3DDF2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3A65A45" w14:textId="77777777" w:rsidR="00EE23B1" w:rsidRDefault="00EE23B1" w:rsidP="00EE23B1">
      <w:pPr>
        <w:pStyle w:val="NadpisC"/>
        <w:rPr>
          <w:b w:val="0"/>
          <w:i/>
          <w:iCs/>
          <w:kern w:val="0"/>
          <w:sz w:val="20"/>
        </w:rPr>
      </w:pPr>
      <w:r w:rsidRPr="00EE23B1">
        <w:rPr>
          <w:b w:val="0"/>
          <w:i/>
          <w:iCs/>
          <w:kern w:val="0"/>
          <w:sz w:val="20"/>
        </w:rPr>
        <w:t xml:space="preserve">Půdorysné a výškové řešení RP vychází z návrhu </w:t>
      </w:r>
      <w:proofErr w:type="spellStart"/>
      <w:r w:rsidRPr="00EE23B1">
        <w:rPr>
          <w:b w:val="0"/>
          <w:i/>
          <w:iCs/>
          <w:kern w:val="0"/>
          <w:sz w:val="20"/>
        </w:rPr>
        <w:t>A</w:t>
      </w:r>
      <w:r w:rsidR="00D0567C">
        <w:rPr>
          <w:b w:val="0"/>
          <w:i/>
          <w:iCs/>
          <w:kern w:val="0"/>
          <w:sz w:val="20"/>
        </w:rPr>
        <w:t>QUATIS</w:t>
      </w:r>
      <w:r w:rsidRPr="00EE23B1">
        <w:rPr>
          <w:b w:val="0"/>
          <w:i/>
          <w:iCs/>
          <w:kern w:val="0"/>
          <w:sz w:val="20"/>
        </w:rPr>
        <w:t>u</w:t>
      </w:r>
      <w:proofErr w:type="spellEnd"/>
      <w:r w:rsidRPr="00EE23B1">
        <w:rPr>
          <w:b w:val="0"/>
          <w:i/>
          <w:iCs/>
          <w:kern w:val="0"/>
          <w:sz w:val="20"/>
        </w:rPr>
        <w:t xml:space="preserve"> 2018, tzn. jedná se o obto</w:t>
      </w:r>
      <w:r w:rsidR="005F2D94">
        <w:rPr>
          <w:b w:val="0"/>
          <w:i/>
          <w:iCs/>
          <w:kern w:val="0"/>
          <w:sz w:val="20"/>
        </w:rPr>
        <w:t>kový</w:t>
      </w:r>
      <w:r w:rsidRPr="00EE23B1">
        <w:rPr>
          <w:b w:val="0"/>
          <w:i/>
          <w:iCs/>
          <w:kern w:val="0"/>
          <w:sz w:val="20"/>
        </w:rPr>
        <w:t xml:space="preserve"> kanál spojující nadjezí s podjezím zdrsněnou rampou obtékající zleva MVE. Do RP je v nadjezí navíc zaústěno parkové rameno (viz níže). </w:t>
      </w:r>
    </w:p>
    <w:p w14:paraId="5FE1DC03" w14:textId="77777777" w:rsidR="00AC6A8A" w:rsidRDefault="008E208F" w:rsidP="00EE23B1">
      <w:pPr>
        <w:pStyle w:val="NadpisC"/>
      </w:pPr>
      <w:r>
        <w:t>2</w:t>
      </w:r>
      <w:r>
        <w:tab/>
      </w:r>
      <w:r w:rsidR="002F650F">
        <w:t>Umístění</w:t>
      </w:r>
    </w:p>
    <w:p w14:paraId="76C23BD9" w14:textId="77777777" w:rsidR="001840AF" w:rsidRDefault="001840AF" w:rsidP="001840AF">
      <w:pPr>
        <w:pStyle w:val="Bntext"/>
      </w:pPr>
    </w:p>
    <w:p w14:paraId="147EEF18" w14:textId="77777777" w:rsidR="001840AF" w:rsidRDefault="001840AF" w:rsidP="001840AF">
      <w:pPr>
        <w:pStyle w:val="Bntext"/>
      </w:pPr>
      <w:r>
        <w:rPr>
          <w:noProof/>
        </w:rPr>
        <w:drawing>
          <wp:inline distT="0" distB="0" distL="0" distR="0" wp14:anchorId="452CEE88" wp14:editId="67C7BF2E">
            <wp:extent cx="5756910" cy="3635375"/>
            <wp:effectExtent l="0" t="0" r="0" b="3175"/>
            <wp:docPr id="1" name="Obrázek 1" descr="R:\201044_krnov_studie\201044_31_A01_krnov_studie\Texty\Listy_opatreni\F_24\F2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4\F24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63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7178D" w14:textId="77777777" w:rsidR="001840AF" w:rsidRPr="001840AF" w:rsidRDefault="001840AF" w:rsidP="001840AF">
      <w:pPr>
        <w:pStyle w:val="Bntext"/>
      </w:pPr>
    </w:p>
    <w:p w14:paraId="793F6006" w14:textId="77777777" w:rsidR="00FF66CF" w:rsidRDefault="00CD3B32" w:rsidP="00CD3B32">
      <w:pPr>
        <w:pStyle w:val="Bntext"/>
      </w:pPr>
      <w:r w:rsidRPr="009A5019">
        <w:t xml:space="preserve">Námět </w:t>
      </w:r>
      <w:r>
        <w:t xml:space="preserve">v </w:t>
      </w:r>
      <w:r w:rsidRPr="009A5019">
        <w:t xml:space="preserve">souladu s ÚP – koridory </w:t>
      </w:r>
      <w:r>
        <w:t>vodní a vodohospodářské – KW-O39</w:t>
      </w:r>
    </w:p>
    <w:p w14:paraId="0F53C44A" w14:textId="77777777" w:rsidR="00CD3B32" w:rsidRDefault="00FF66CF" w:rsidP="00CD3B32">
      <w:pPr>
        <w:pStyle w:val="Bntext"/>
      </w:pPr>
      <w:r>
        <w:t xml:space="preserve">Námět v souladu se stanoviskem </w:t>
      </w:r>
      <w:proofErr w:type="spellStart"/>
      <w:r>
        <w:t>MěÚ</w:t>
      </w:r>
      <w:proofErr w:type="spellEnd"/>
      <w:r>
        <w:t xml:space="preserve"> Krnov.</w:t>
      </w:r>
    </w:p>
    <w:p w14:paraId="1B9DF2F9" w14:textId="77777777" w:rsidR="00CD3B32" w:rsidRDefault="00CD3B32" w:rsidP="00CD3B32">
      <w:pPr>
        <w:pStyle w:val="Bntext"/>
      </w:pPr>
      <w:r>
        <w:t>Zábory, majetkoprávní vypořádání – pozemek PO, pozemky Města Krnova</w:t>
      </w:r>
    </w:p>
    <w:p w14:paraId="157EF4C1" w14:textId="77777777" w:rsidR="00CD3B32" w:rsidRPr="00ED3333" w:rsidRDefault="00CD3B32" w:rsidP="00CD3B32">
      <w:pPr>
        <w:pStyle w:val="Bntext"/>
      </w:pPr>
      <w:r>
        <w:t xml:space="preserve">Kolize s infrastrukturou – ANO, podzemní vedení VN, </w:t>
      </w:r>
      <w:r w:rsidR="00FF66CF">
        <w:t>kabel MVE Povodí Odry, přeložka osvětlení, přeložka NN</w:t>
      </w:r>
    </w:p>
    <w:p w14:paraId="42804FBA" w14:textId="77777777" w:rsidR="00235460" w:rsidRPr="00ED3333" w:rsidRDefault="00235460" w:rsidP="00ED3333">
      <w:pPr>
        <w:pStyle w:val="Bntext"/>
      </w:pPr>
    </w:p>
    <w:p w14:paraId="4F7F7493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7A81BB8" w14:textId="77777777" w:rsidR="00756CEE" w:rsidRDefault="00756CEE" w:rsidP="00756CEE">
      <w:pPr>
        <w:pStyle w:val="Bntext"/>
      </w:pPr>
      <w:bookmarkStart w:id="0" w:name="_Hlk34636033"/>
      <w:r>
        <w:t>Řešení je uvedeno na přílohách studie: zpráva A str. 42, situace B.04f.</w:t>
      </w:r>
    </w:p>
    <w:p w14:paraId="373C4666" w14:textId="77777777" w:rsidR="00756CEE" w:rsidRPr="00235460" w:rsidRDefault="00756CEE" w:rsidP="00756CEE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řešení</w:t>
      </w:r>
      <w:r w:rsidR="003669F2">
        <w:t xml:space="preserve"> zachovává projekt </w:t>
      </w:r>
      <w:proofErr w:type="spellStart"/>
      <w:r w:rsidR="003669F2">
        <w:t>AQUATISu</w:t>
      </w:r>
      <w:proofErr w:type="spellEnd"/>
      <w:r w:rsidR="003669F2">
        <w:t xml:space="preserve"> ve stupni DUR.</w:t>
      </w:r>
      <w:bookmarkEnd w:id="0"/>
      <w:r w:rsidR="003669F2">
        <w:t xml:space="preserve"> </w:t>
      </w:r>
    </w:p>
    <w:p w14:paraId="1E6587C1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3815C2A4" w14:textId="77777777" w:rsidR="00E875FF" w:rsidRDefault="00D91DAE" w:rsidP="00D91DAE">
      <w:bookmarkStart w:id="1" w:name="_Hlk34909504"/>
      <w:r>
        <w:t>Rybí přechod je součástí DUR PPO.</w:t>
      </w:r>
      <w:r w:rsidR="00884724">
        <w:t xml:space="preserve"> </w:t>
      </w:r>
      <w:r>
        <w:t>Ve studii je navrženo</w:t>
      </w:r>
      <w:r w:rsidR="00E35401">
        <w:t xml:space="preserve"> zachování řešení </w:t>
      </w:r>
      <w:proofErr w:type="gramStart"/>
      <w:r w:rsidR="00E35401">
        <w:t xml:space="preserve">rybího </w:t>
      </w:r>
      <w:r>
        <w:t xml:space="preserve"> </w:t>
      </w:r>
      <w:r w:rsidR="00E35401">
        <w:t>přechodu</w:t>
      </w:r>
      <w:proofErr w:type="gramEnd"/>
      <w:r w:rsidR="00E35401">
        <w:t xml:space="preserve"> dle DUR se zaústěním parkového ramene</w:t>
      </w:r>
      <w:r>
        <w:t xml:space="preserve">. </w:t>
      </w:r>
      <w:bookmarkEnd w:id="1"/>
    </w:p>
    <w:p w14:paraId="35D8EB04" w14:textId="77777777" w:rsidR="00D91DAE" w:rsidRDefault="006E4F71" w:rsidP="00D91DAE">
      <w:r>
        <w:lastRenderedPageBreak/>
        <w:t>Navýšení průtoků v </w:t>
      </w:r>
      <w:proofErr w:type="spellStart"/>
      <w:r>
        <w:t>rybochodu</w:t>
      </w:r>
      <w:proofErr w:type="spellEnd"/>
      <w:r>
        <w:t xml:space="preserve"> vyvolá nutnost úpravy základních</w:t>
      </w:r>
      <w:r w:rsidR="00512D0E">
        <w:t xml:space="preserve"> hydraulických</w:t>
      </w:r>
      <w:r>
        <w:t xml:space="preserve"> parametrů navržené konstrukce (je třeba zachovat požadavky </w:t>
      </w:r>
      <w:r w:rsidRPr="00622274">
        <w:t>TNV 75 2321</w:t>
      </w:r>
      <w:r>
        <w:t xml:space="preserve">, zejména max. </w:t>
      </w:r>
      <w:r w:rsidR="00130C83">
        <w:t>rychlost)</w:t>
      </w:r>
      <w:r w:rsidR="00E76159">
        <w:t xml:space="preserve">. </w:t>
      </w:r>
    </w:p>
    <w:p w14:paraId="5DBCBF55" w14:textId="77777777" w:rsidR="00E875FF" w:rsidRDefault="00E875FF" w:rsidP="00D91DAE">
      <w:r>
        <w:t xml:space="preserve">Převádění větších průtoků rybím přechodem (obtokem elektrárny) omezí </w:t>
      </w:r>
      <w:r w:rsidR="00884724">
        <w:t xml:space="preserve">možnost provozovat MVE za nižších průtoků. DUR předpokládala </w:t>
      </w:r>
      <w:r w:rsidR="00512D0E">
        <w:t>provoz cca</w:t>
      </w:r>
      <w:r w:rsidR="00D4293C">
        <w:t xml:space="preserve"> nad</w:t>
      </w:r>
      <w:r w:rsidR="00512D0E">
        <w:t xml:space="preserve"> </w:t>
      </w:r>
      <w:r w:rsidR="00512D0E" w:rsidRPr="00512D0E">
        <w:t>Q</w:t>
      </w:r>
      <w:r w:rsidR="00512D0E" w:rsidRPr="00512D0E">
        <w:rPr>
          <w:vertAlign w:val="subscript"/>
        </w:rPr>
        <w:t>330d</w:t>
      </w:r>
      <w:r w:rsidR="00EA2D38">
        <w:t>. Navrhované dělení průtoku dle DUR je násl</w:t>
      </w:r>
      <w:r w:rsidR="00E76159">
        <w:t>e</w:t>
      </w:r>
      <w:r w:rsidR="00EA2D38">
        <w:t>dující:</w:t>
      </w:r>
    </w:p>
    <w:p w14:paraId="2D0519A4" w14:textId="77777777" w:rsidR="00E76159" w:rsidRDefault="00E76159" w:rsidP="00D91DAE"/>
    <w:p w14:paraId="37B5626C" w14:textId="77777777" w:rsidR="00E76159" w:rsidRPr="00EA2D38" w:rsidRDefault="00E76159" w:rsidP="00D91DAE">
      <w:r>
        <w:rPr>
          <w:noProof/>
        </w:rPr>
        <w:drawing>
          <wp:inline distT="0" distB="0" distL="0" distR="0" wp14:anchorId="74FE3780" wp14:editId="57A42A00">
            <wp:extent cx="3035869" cy="727644"/>
            <wp:effectExtent l="0" t="0" r="0" b="0"/>
            <wp:docPr id="2" name="Obrázek 2" descr="R:\201044_krnov_studie\201044_31_A01_krnov_studie\Texty\Listy_opatreni\F_24\deleni_RP_M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4\deleni_RP_MV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628" cy="73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ABC4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0A035293" w14:textId="77777777" w:rsidR="00ED3333" w:rsidRPr="00ED3333" w:rsidRDefault="00512D0E" w:rsidP="00ED3333">
      <w:pPr>
        <w:pStyle w:val="Bntext"/>
      </w:pPr>
      <w:r>
        <w:t>Lze navrhnout s neutrálním vlivem.</w:t>
      </w:r>
    </w:p>
    <w:p w14:paraId="3C83991C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1F959A7F" w14:textId="77777777" w:rsidR="00ED3333" w:rsidRDefault="00512D0E" w:rsidP="002F650F">
      <w:r>
        <w:t>Pro zachování navržených parametrů r</w:t>
      </w:r>
      <w:r w:rsidR="0015062E">
        <w:t xml:space="preserve">ybího </w:t>
      </w:r>
      <w:proofErr w:type="gramStart"/>
      <w:r w:rsidR="0015062E">
        <w:t>přechodu  a</w:t>
      </w:r>
      <w:proofErr w:type="gramEnd"/>
      <w:r w:rsidR="0015062E">
        <w:t xml:space="preserve"> požadavků na provozování MVE je nutno zaústění parkového ramene vyloučit</w:t>
      </w:r>
      <w:r w:rsidR="00E76159">
        <w:t xml:space="preserve"> </w:t>
      </w:r>
      <w:r w:rsidR="009B3C8C">
        <w:t xml:space="preserve"> a  realizovat jeho </w:t>
      </w:r>
      <w:r w:rsidR="00E76159">
        <w:t>vyústění do nadjezí</w:t>
      </w:r>
      <w:r w:rsidR="00EA2D38">
        <w:t>.</w:t>
      </w:r>
      <w:r w:rsidR="00E76159">
        <w:t xml:space="preserve"> </w:t>
      </w:r>
    </w:p>
    <w:p w14:paraId="4954AD03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D382D">
        <w:t>a PPO</w:t>
      </w:r>
    </w:p>
    <w:p w14:paraId="507E32BE" w14:textId="77777777" w:rsidR="00ED3333" w:rsidRDefault="00E76159" w:rsidP="00ED3333">
      <w:pPr>
        <w:pStyle w:val="Bntext"/>
      </w:pPr>
      <w:r>
        <w:t xml:space="preserve">Realizací námětu </w:t>
      </w:r>
      <w:r w:rsidR="00307283">
        <w:t>by byla</w:t>
      </w:r>
      <w:r w:rsidR="00D4293C">
        <w:t xml:space="preserve"> omezena možnost provozování MVE za nízkých průtoků.</w:t>
      </w:r>
    </w:p>
    <w:p w14:paraId="146D7705" w14:textId="77777777" w:rsidR="002F650F" w:rsidRDefault="007A41FB" w:rsidP="00DA6A67">
      <w:pPr>
        <w:pStyle w:val="NadpisC"/>
      </w:pPr>
      <w:r>
        <w:t>8</w:t>
      </w:r>
      <w:r>
        <w:tab/>
      </w:r>
      <w:r w:rsidR="00BD382D">
        <w:t>S</w:t>
      </w:r>
      <w:r w:rsidR="002F650F">
        <w:t xml:space="preserve">tanovisko </w:t>
      </w:r>
      <w:r w:rsidR="00DA6A67">
        <w:t>investora PPO</w:t>
      </w:r>
    </w:p>
    <w:p w14:paraId="467BC60B" w14:textId="77777777" w:rsidR="000E7960" w:rsidRDefault="000E7960" w:rsidP="000E7960">
      <w:pPr>
        <w:pStyle w:val="Bntext"/>
      </w:pPr>
      <w:bookmarkStart w:id="2" w:name="_Hlk41980821"/>
      <w:bookmarkStart w:id="3" w:name="_Hlk41983581"/>
      <w:bookmarkStart w:id="4" w:name="_Hlk41979783"/>
      <w:bookmarkStart w:id="5" w:name="_Hlk41980011"/>
      <w:r>
        <w:t>Povodí Odry, státní podnik</w:t>
      </w:r>
      <w:bookmarkEnd w:id="2"/>
      <w:r>
        <w:t xml:space="preserve"> </w:t>
      </w:r>
      <w:bookmarkEnd w:id="3"/>
      <w:r>
        <w:t>nesouhlasí se zaústěním parkového ramene do rybího přechodu.</w:t>
      </w:r>
      <w:bookmarkEnd w:id="4"/>
      <w:r w:rsidR="009B3C8C">
        <w:t xml:space="preserve"> Požaduje vyústění parkového ramene do nadjezí.</w:t>
      </w:r>
    </w:p>
    <w:p w14:paraId="15697BED" w14:textId="77777777" w:rsidR="000E7960" w:rsidRDefault="000E7960" w:rsidP="000E7960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6" w:name="_Hlk41990626"/>
      <w:r w:rsidRPr="00B90B01">
        <w:t>– součást PPO</w:t>
      </w:r>
      <w:bookmarkEnd w:id="6"/>
      <w:r>
        <w:t xml:space="preserve"> (rybí přechod)</w:t>
      </w:r>
    </w:p>
    <w:bookmarkEnd w:id="5"/>
    <w:p w14:paraId="0AC3E41B" w14:textId="77777777" w:rsidR="002F650F" w:rsidRDefault="00BD382D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8128B58" w14:textId="6FA1E0E6" w:rsidR="002F650F" w:rsidRDefault="00D4293C" w:rsidP="00D4293C">
      <w:r>
        <w:t>Rybí přechod je zařazena v DUR jako SO 090.23.3. Rybí přechod</w:t>
      </w:r>
      <w:r w:rsidR="000E7960">
        <w:t xml:space="preserve"> </w:t>
      </w:r>
      <w:bookmarkStart w:id="7" w:name="_Hlk41913345"/>
      <w:r w:rsidR="000E7960">
        <w:t xml:space="preserve">a </w:t>
      </w:r>
      <w:bookmarkStart w:id="8" w:name="_Hlk41927384"/>
      <w:r w:rsidR="000E7960">
        <w:t>bude financován jako součást PPO z prostředků investora PPO</w:t>
      </w:r>
      <w:bookmarkEnd w:id="7"/>
      <w:bookmarkEnd w:id="8"/>
      <w:r w:rsidR="000E7960">
        <w:t>.</w:t>
      </w:r>
    </w:p>
    <w:p w14:paraId="303DDA15" w14:textId="4FE41B4A" w:rsidR="00FB3DA8" w:rsidRDefault="00FB3DA8" w:rsidP="00D4293C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664CC4" w:rsidRPr="00ED5BBD" w14:paraId="079317BB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5B9E500" w14:textId="77777777" w:rsidR="00664CC4" w:rsidRPr="00ED5BBD" w:rsidRDefault="00664CC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9" w:name="_Hlk48291513"/>
            <w:bookmarkStart w:id="10" w:name="_Hlk48291356"/>
            <w:bookmarkStart w:id="1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64CC4" w:rsidRPr="00ED5BBD" w14:paraId="5B2D5CB1" w14:textId="77777777" w:rsidTr="00BC25DC">
        <w:tc>
          <w:tcPr>
            <w:tcW w:w="9062" w:type="dxa"/>
            <w:hideMark/>
          </w:tcPr>
          <w:p w14:paraId="31021589" w14:textId="72805B37" w:rsidR="00664CC4" w:rsidRPr="00664CC4" w:rsidRDefault="00664CC4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3800EFE1" w14:textId="77777777" w:rsidR="00664CC4" w:rsidRPr="00ED5BBD" w:rsidRDefault="00664CC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6FF4CAE" w14:textId="77777777" w:rsidR="00664CC4" w:rsidRPr="00ED5BBD" w:rsidRDefault="00664CC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64CC4" w:rsidRPr="00ED5BBD" w14:paraId="09A1E1D0" w14:textId="77777777" w:rsidTr="00BC25DC">
        <w:tc>
          <w:tcPr>
            <w:tcW w:w="9062" w:type="dxa"/>
            <w:shd w:val="clear" w:color="auto" w:fill="auto"/>
          </w:tcPr>
          <w:p w14:paraId="7649D5F4" w14:textId="77777777" w:rsidR="00664CC4" w:rsidRPr="00ED5BBD" w:rsidRDefault="00664CC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9"/>
      <w:bookmarkEnd w:id="10"/>
      <w:bookmarkEnd w:id="11"/>
    </w:tbl>
    <w:p w14:paraId="1A7876E7" w14:textId="77777777" w:rsidR="00DA6A67" w:rsidRDefault="00DA6A67" w:rsidP="002F650F"/>
    <w:p w14:paraId="1A763DC8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DC763" w14:textId="77777777" w:rsidR="00D93910" w:rsidRDefault="00D93910">
      <w:r>
        <w:separator/>
      </w:r>
    </w:p>
  </w:endnote>
  <w:endnote w:type="continuationSeparator" w:id="0">
    <w:p w14:paraId="1EBF6A8B" w14:textId="77777777" w:rsidR="00D93910" w:rsidRDefault="00D9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76980F6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6174583A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5CDACE2" w14:textId="77777777">
      <w:tc>
        <w:tcPr>
          <w:tcW w:w="4605" w:type="dxa"/>
          <w:tcBorders>
            <w:top w:val="single" w:sz="4" w:space="0" w:color="auto"/>
          </w:tcBorders>
        </w:tcPr>
        <w:p w14:paraId="358539AE" w14:textId="00F569E1" w:rsidR="00BE0FEB" w:rsidRDefault="00E6778F">
          <w:pPr>
            <w:pStyle w:val="Zpat"/>
          </w:pPr>
          <w:fldSimple w:instr=" FILENAME  \* MERGEFORMAT ">
            <w:r w:rsidR="00664CC4">
              <w:rPr>
                <w:noProof/>
              </w:rPr>
              <w:t>F_24+zaver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530299A8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E6E0E53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360B2" w14:textId="77777777" w:rsidR="00D93910" w:rsidRDefault="00D93910">
      <w:r>
        <w:separator/>
      </w:r>
    </w:p>
  </w:footnote>
  <w:footnote w:type="continuationSeparator" w:id="0">
    <w:p w14:paraId="19074840" w14:textId="77777777" w:rsidR="00D93910" w:rsidRDefault="00D93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BCFE4D8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F948923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05DDC0E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F2D3B6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18B118E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54C5E1F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037F"/>
    <w:rsid w:val="00035956"/>
    <w:rsid w:val="00050EE5"/>
    <w:rsid w:val="00087224"/>
    <w:rsid w:val="000B7C16"/>
    <w:rsid w:val="000E7960"/>
    <w:rsid w:val="000F7725"/>
    <w:rsid w:val="00101B48"/>
    <w:rsid w:val="00130C83"/>
    <w:rsid w:val="001346F1"/>
    <w:rsid w:val="0015062E"/>
    <w:rsid w:val="001834D7"/>
    <w:rsid w:val="001840AF"/>
    <w:rsid w:val="00185CF6"/>
    <w:rsid w:val="001D6AFC"/>
    <w:rsid w:val="001E1F3D"/>
    <w:rsid w:val="001E4B25"/>
    <w:rsid w:val="0020200A"/>
    <w:rsid w:val="0021346C"/>
    <w:rsid w:val="002170A1"/>
    <w:rsid w:val="00232F1E"/>
    <w:rsid w:val="00235460"/>
    <w:rsid w:val="00254E5E"/>
    <w:rsid w:val="002D6A58"/>
    <w:rsid w:val="002F08DA"/>
    <w:rsid w:val="002F0A06"/>
    <w:rsid w:val="002F650F"/>
    <w:rsid w:val="0030019A"/>
    <w:rsid w:val="00307283"/>
    <w:rsid w:val="00343780"/>
    <w:rsid w:val="003442DC"/>
    <w:rsid w:val="00346654"/>
    <w:rsid w:val="003470B0"/>
    <w:rsid w:val="003669F2"/>
    <w:rsid w:val="00371167"/>
    <w:rsid w:val="00385ED4"/>
    <w:rsid w:val="003B1ADD"/>
    <w:rsid w:val="003E03E3"/>
    <w:rsid w:val="003E5B29"/>
    <w:rsid w:val="003F5A51"/>
    <w:rsid w:val="004235B8"/>
    <w:rsid w:val="00446DA7"/>
    <w:rsid w:val="00493812"/>
    <w:rsid w:val="004955FF"/>
    <w:rsid w:val="00497162"/>
    <w:rsid w:val="004E3004"/>
    <w:rsid w:val="00512D0E"/>
    <w:rsid w:val="005153F6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5F2D94"/>
    <w:rsid w:val="00623B83"/>
    <w:rsid w:val="00664255"/>
    <w:rsid w:val="00664CC4"/>
    <w:rsid w:val="00690190"/>
    <w:rsid w:val="00693F6B"/>
    <w:rsid w:val="006D54F3"/>
    <w:rsid w:val="006E4F71"/>
    <w:rsid w:val="00751997"/>
    <w:rsid w:val="00756CEE"/>
    <w:rsid w:val="00766E88"/>
    <w:rsid w:val="00781356"/>
    <w:rsid w:val="007961D7"/>
    <w:rsid w:val="007A41FB"/>
    <w:rsid w:val="007C043D"/>
    <w:rsid w:val="007E071E"/>
    <w:rsid w:val="00805F3E"/>
    <w:rsid w:val="008213C2"/>
    <w:rsid w:val="00822351"/>
    <w:rsid w:val="008609C4"/>
    <w:rsid w:val="00867EED"/>
    <w:rsid w:val="00870E16"/>
    <w:rsid w:val="00875B7E"/>
    <w:rsid w:val="00884724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A1E12"/>
    <w:rsid w:val="009A232C"/>
    <w:rsid w:val="009B3C8C"/>
    <w:rsid w:val="009B4603"/>
    <w:rsid w:val="00A13053"/>
    <w:rsid w:val="00A25265"/>
    <w:rsid w:val="00A43DB9"/>
    <w:rsid w:val="00A56EE2"/>
    <w:rsid w:val="00A64C20"/>
    <w:rsid w:val="00AC6A8A"/>
    <w:rsid w:val="00AF19D0"/>
    <w:rsid w:val="00B036B4"/>
    <w:rsid w:val="00B13EF1"/>
    <w:rsid w:val="00B25588"/>
    <w:rsid w:val="00B50DEA"/>
    <w:rsid w:val="00BA74FE"/>
    <w:rsid w:val="00BC02E8"/>
    <w:rsid w:val="00BC0753"/>
    <w:rsid w:val="00BD23D3"/>
    <w:rsid w:val="00BD382D"/>
    <w:rsid w:val="00BE0FEB"/>
    <w:rsid w:val="00C22EF6"/>
    <w:rsid w:val="00C4482C"/>
    <w:rsid w:val="00CC7071"/>
    <w:rsid w:val="00CD3B32"/>
    <w:rsid w:val="00CD3FF5"/>
    <w:rsid w:val="00CD6F29"/>
    <w:rsid w:val="00CE5B6D"/>
    <w:rsid w:val="00CF1B3F"/>
    <w:rsid w:val="00D0567C"/>
    <w:rsid w:val="00D12E55"/>
    <w:rsid w:val="00D155A6"/>
    <w:rsid w:val="00D33312"/>
    <w:rsid w:val="00D339F0"/>
    <w:rsid w:val="00D4293C"/>
    <w:rsid w:val="00D75A66"/>
    <w:rsid w:val="00D91DAE"/>
    <w:rsid w:val="00D93910"/>
    <w:rsid w:val="00D96981"/>
    <w:rsid w:val="00DA6004"/>
    <w:rsid w:val="00DA61A1"/>
    <w:rsid w:val="00DA6A67"/>
    <w:rsid w:val="00DD256E"/>
    <w:rsid w:val="00DE5F15"/>
    <w:rsid w:val="00E25109"/>
    <w:rsid w:val="00E30B40"/>
    <w:rsid w:val="00E35401"/>
    <w:rsid w:val="00E41632"/>
    <w:rsid w:val="00E63454"/>
    <w:rsid w:val="00E6778F"/>
    <w:rsid w:val="00E74256"/>
    <w:rsid w:val="00E76159"/>
    <w:rsid w:val="00E769AE"/>
    <w:rsid w:val="00E82ABC"/>
    <w:rsid w:val="00E875FF"/>
    <w:rsid w:val="00EA2D38"/>
    <w:rsid w:val="00ED2F89"/>
    <w:rsid w:val="00ED3333"/>
    <w:rsid w:val="00EE1C26"/>
    <w:rsid w:val="00EE23B1"/>
    <w:rsid w:val="00EF470B"/>
    <w:rsid w:val="00F767F2"/>
    <w:rsid w:val="00FB3DA8"/>
    <w:rsid w:val="00FC5F64"/>
    <w:rsid w:val="00FD7874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6C5A38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0E79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0E79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73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371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18</cp:revision>
  <cp:lastPrinted>1900-12-31T23:00:00Z</cp:lastPrinted>
  <dcterms:created xsi:type="dcterms:W3CDTF">2020-03-09T13:32:00Z</dcterms:created>
  <dcterms:modified xsi:type="dcterms:W3CDTF">2020-08-17T16:21:00Z</dcterms:modified>
</cp:coreProperties>
</file>